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4" w:rsidRDefault="00670DC4" w:rsidP="001F26A2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</w:pPr>
      <w:r w:rsidRPr="001F26A2"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  <w:t>ОПЕКА И ПОПЕЧИТЕЛЬСТВО НАД СОВЕРШЕ</w:t>
      </w:r>
      <w:r w:rsidR="001F26A2"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  <w:t xml:space="preserve">ННОЛЕТНИМИ ГРАЖДАНАМИ. </w:t>
      </w:r>
    </w:p>
    <w:p w:rsidR="001F26A2" w:rsidRPr="001F26A2" w:rsidRDefault="001F26A2" w:rsidP="001F26A2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обеспечения и защиты интересов граждан, не обладающих дееспособностью или обладающих ею частично, существует институт опеки и попечительства. Он позволяет осуществлять приобретение и реализацию гражданских прав и обязанностей недееспособными или не полностью дееспособными лицами с помощью опекунов и попечителей.</w:t>
      </w:r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Опека устанавливается над гражданами, признанными судом недееспособными вследствие психического расстройства. Опекуны являются представителями подопечных в силу закона и совершают от их имени и в их интересах все необходимые сделки (ст. 32 ГК РФ).</w:t>
      </w:r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Попечительство устанавливается над гражданами, ограниченными судом в дееспособности. Попечители оказывают подопечным содействие в осуществлении прав и исполнении обязанностей, а также охраняют их от злоупотреблений со стороны третьих лиц. Попечитель не является законным представителем подопечного.</w:t>
      </w:r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Опекуном (попечителем) может быть назначен только совершеннолетний дееспособный гражданин при условии его согласия на это. Согласие подопечного не является обязательным для назначения опеки (попечителя), но в случае, когда это возможно, его желание выявляется и учитывается.</w:t>
      </w:r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того чтобы не допустить злоупотреблений со стороны опекуна (попечителя), закон устанавливает определенные рамки его деятельности в этом качестве. </w:t>
      </w:r>
      <w:proofErr w:type="gramStart"/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опекун не вправе без предварительного разрешения органа опеки и попечительства совершать, а попечитель — давать согласие на совершение сделок по отчуждению имущества, сдаче его внаем (аренду), в безвозмездное пользование или в залог, сделок, влекущих отказ от принадлежащих подопечному прав (отказ от наследства), а также любых других сделок, влекущих уменьшение имущества подопечного (ст. 37 ГК РФ).</w:t>
      </w:r>
      <w:proofErr w:type="gramEnd"/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ненадлежащего использования опекуном (попечителем) своих прав и обязанностей он отстраняется органом опеки и попечительства от их исполнения.</w:t>
      </w:r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Опека прекращается: над недееспособными душевнобольными — на основании решения суда о признании их дееспособными в случае выздоровления.</w:t>
      </w:r>
    </w:p>
    <w:p w:rsidR="00670DC4" w:rsidRPr="00670DC4" w:rsidRDefault="00670DC4" w:rsidP="00670DC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Попечительство прекращается: над совершеннолетними ограниченно дееспособными — на основании решения суда об отмене ограничения дееспособности. </w:t>
      </w:r>
      <w:proofErr w:type="gramStart"/>
      <w:r w:rsidRPr="00670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Опека и попечительство прекращаются также в случае смерти подопечного, либо объявления его умершим.</w:t>
      </w:r>
      <w:proofErr w:type="gramEnd"/>
    </w:p>
    <w:p w:rsidR="004A5058" w:rsidRDefault="004A5058"/>
    <w:sectPr w:rsidR="004A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C4"/>
    <w:rsid w:val="001F26A2"/>
    <w:rsid w:val="004A5058"/>
    <w:rsid w:val="006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2</cp:revision>
  <dcterms:created xsi:type="dcterms:W3CDTF">2022-03-04T09:06:00Z</dcterms:created>
  <dcterms:modified xsi:type="dcterms:W3CDTF">2022-03-18T11:31:00Z</dcterms:modified>
</cp:coreProperties>
</file>